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Theme="majorEastAsia" w:hAnsiTheme="majorEastAsia" w:eastAsiaTheme="majorEastAsia" w:cstheme="majorEastAsia"/>
          <w:b w:val="0"/>
          <w:i w:val="0"/>
          <w:caps w:val="0"/>
          <w:color w:val="auto"/>
          <w:spacing w:val="0"/>
          <w:sz w:val="30"/>
          <w:szCs w:val="30"/>
        </w:rPr>
      </w:pPr>
      <w:r>
        <w:rPr>
          <w:rFonts w:hint="eastAsia" w:asciiTheme="majorEastAsia" w:hAnsiTheme="majorEastAsia" w:eastAsiaTheme="majorEastAsia" w:cstheme="majorEastAsia"/>
          <w:b w:val="0"/>
          <w:i w:val="0"/>
          <w:caps w:val="0"/>
          <w:color w:val="auto"/>
          <w:spacing w:val="0"/>
          <w:sz w:val="30"/>
          <w:szCs w:val="30"/>
        </w:rPr>
        <w:t>科鲁斯军用大眼睛25X100望远镜</w:t>
      </w:r>
    </w:p>
    <w:tbl>
      <w:tblPr>
        <w:tblStyle w:val="4"/>
        <w:tblW w:w="7659" w:type="dxa"/>
        <w:tblInd w:w="0" w:type="dxa"/>
        <w:shd w:val="clear" w:color="auto" w:fill="auto"/>
        <w:tblLayout w:type="autofit"/>
        <w:tblCellMar>
          <w:top w:w="0" w:type="dxa"/>
          <w:left w:w="0" w:type="dxa"/>
          <w:bottom w:w="0" w:type="dxa"/>
          <w:right w:w="0" w:type="dxa"/>
        </w:tblCellMar>
      </w:tblPr>
      <w:tblGrid>
        <w:gridCol w:w="3528"/>
        <w:gridCol w:w="4131"/>
      </w:tblGrid>
      <w:tr>
        <w:tblPrEx>
          <w:shd w:val="clear" w:color="auto" w:fill="auto"/>
          <w:tblCellMar>
            <w:top w:w="0" w:type="dxa"/>
            <w:left w:w="0" w:type="dxa"/>
            <w:bottom w:w="0" w:type="dxa"/>
            <w:right w:w="0" w:type="dxa"/>
          </w:tblCellMar>
        </w:tblPrEx>
        <w:trPr>
          <w:trHeight w:val="534"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型号</w:t>
            </w:r>
          </w:p>
        </w:tc>
        <w:tc>
          <w:tcPr>
            <w:tcW w:w="4131" w:type="dxa"/>
            <w:shd w:val="clear" w:color="auto" w:fill="auto"/>
            <w:vAlign w:val="center"/>
          </w:tcPr>
          <w:p>
            <w:pPr>
              <w:keepNext w:val="0"/>
              <w:keepLines w:val="0"/>
              <w:widowControl/>
              <w:suppressLineNumbers w:val="0"/>
              <w:jc w:val="center"/>
              <w:textAlignment w:val="center"/>
            </w:pPr>
            <w:r>
              <w:rPr>
                <w:rFonts w:hint="default" w:ascii="Arial" w:hAnsi="Arial" w:eastAsia="宋体" w:cs="Arial"/>
                <w:i w:val="0"/>
                <w:color w:val="666666"/>
                <w:kern w:val="0"/>
                <w:sz w:val="24"/>
                <w:szCs w:val="24"/>
                <w:u w:val="none"/>
                <w:lang w:val="en-US" w:eastAsia="zh-CN" w:bidi="ar"/>
              </w:rPr>
              <w:t>25100</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放大倍数</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25倍</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 xml:space="preserve"> 物镜直径(mm)</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100</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出光孔径(mm)</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4</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出瞳距离（mm）</w:t>
            </w:r>
          </w:p>
        </w:tc>
        <w:tc>
          <w:tcPr>
            <w:tcW w:w="4131" w:type="dxa"/>
            <w:shd w:val="clear" w:color="auto" w:fill="auto"/>
            <w:vAlign w:val="center"/>
          </w:tcPr>
          <w:p>
            <w:pPr>
              <w:keepNext w:val="0"/>
              <w:keepLines w:val="0"/>
              <w:widowControl/>
              <w:suppressLineNumbers w:val="0"/>
              <w:jc w:val="center"/>
              <w:textAlignment w:val="center"/>
            </w:pPr>
            <w:r>
              <w:rPr>
                <w:rFonts w:hint="default" w:ascii="Arial" w:hAnsi="Arial" w:eastAsia="宋体" w:cs="Arial"/>
                <w:i w:val="0"/>
                <w:color w:val="666666"/>
                <w:kern w:val="0"/>
                <w:sz w:val="24"/>
                <w:szCs w:val="24"/>
                <w:u w:val="none"/>
                <w:lang w:val="en-US" w:eastAsia="zh-CN" w:bidi="ar"/>
              </w:rPr>
              <w:t>20mm</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微光系数</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40</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明亮指数</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16</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1000米处视野</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48 m（角度2.75）</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聚焦方式</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免调焦</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屈光度范围</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　± 5dpt</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分辨率</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 3″</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眼距</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56-74mm</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氮压密封系统</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双向双阀控制</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防水</w:t>
            </w:r>
          </w:p>
        </w:tc>
        <w:tc>
          <w:tcPr>
            <w:tcW w:w="4131" w:type="dxa"/>
            <w:shd w:val="clear" w:color="auto" w:fill="auto"/>
            <w:vAlign w:val="center"/>
          </w:tcPr>
          <w:p>
            <w:pPr>
              <w:keepNext w:val="0"/>
              <w:keepLines w:val="0"/>
              <w:widowControl/>
              <w:suppressLineNumbers w:val="0"/>
              <w:jc w:val="center"/>
              <w:textAlignment w:val="center"/>
            </w:pPr>
            <w:r>
              <w:rPr>
                <w:rFonts w:hint="default" w:ascii="Arial" w:hAnsi="Arial" w:eastAsia="宋体" w:cs="Arial"/>
                <w:i w:val="0"/>
                <w:color w:val="666666"/>
                <w:kern w:val="0"/>
                <w:sz w:val="24"/>
                <w:szCs w:val="24"/>
                <w:u w:val="none"/>
                <w:lang w:val="en-US" w:eastAsia="zh-CN" w:bidi="ar"/>
              </w:rPr>
              <w:t>PD54</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温度范围</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-40 / +80°C</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望远镜重量</w:t>
            </w:r>
          </w:p>
        </w:tc>
        <w:tc>
          <w:tcPr>
            <w:tcW w:w="4131"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color w:val="666666"/>
                <w:kern w:val="0"/>
                <w:sz w:val="24"/>
                <w:szCs w:val="24"/>
                <w:u w:val="none"/>
                <w:lang w:val="en-US" w:eastAsia="zh-CN" w:bidi="ar"/>
              </w:rPr>
              <w:t>3800G</w:t>
            </w:r>
          </w:p>
        </w:tc>
      </w:tr>
      <w:tr>
        <w:tblPrEx>
          <w:tblCellMar>
            <w:top w:w="0" w:type="dxa"/>
            <w:left w:w="0" w:type="dxa"/>
            <w:bottom w:w="0" w:type="dxa"/>
            <w:right w:w="0" w:type="dxa"/>
          </w:tblCellMar>
        </w:tblPrEx>
        <w:trPr>
          <w:trHeight w:val="617" w:hRule="atLeast"/>
        </w:trPr>
        <w:tc>
          <w:tcPr>
            <w:tcW w:w="3528" w:type="dxa"/>
            <w:shd w:val="clear" w:color="auto" w:fill="auto"/>
            <w:vAlign w:val="center"/>
          </w:tcPr>
          <w:p>
            <w:pPr>
              <w:keepNext w:val="0"/>
              <w:keepLines w:val="0"/>
              <w:widowControl/>
              <w:suppressLineNumbers w:val="0"/>
              <w:jc w:val="left"/>
              <w:textAlignment w:val="center"/>
            </w:pPr>
            <w:r>
              <w:rPr>
                <w:rFonts w:hint="eastAsia" w:ascii="宋体" w:hAnsi="宋体" w:eastAsia="宋体" w:cs="宋体"/>
                <w:i w:val="0"/>
                <w:color w:val="666666"/>
                <w:kern w:val="0"/>
                <w:sz w:val="24"/>
                <w:szCs w:val="24"/>
                <w:u w:val="none"/>
                <w:lang w:val="en-US" w:eastAsia="zh-CN" w:bidi="ar"/>
              </w:rPr>
              <w:t>尺寸（高*宽*厚）</w:t>
            </w:r>
          </w:p>
        </w:tc>
        <w:tc>
          <w:tcPr>
            <w:tcW w:w="4131" w:type="dxa"/>
            <w:shd w:val="clear" w:color="auto" w:fill="auto"/>
            <w:vAlign w:val="center"/>
          </w:tcPr>
          <w:p>
            <w:pPr>
              <w:keepNext w:val="0"/>
              <w:keepLines w:val="0"/>
              <w:widowControl/>
              <w:suppressLineNumbers w:val="0"/>
              <w:jc w:val="center"/>
              <w:textAlignment w:val="center"/>
            </w:pPr>
            <w:r>
              <w:rPr>
                <w:rFonts w:hint="default" w:ascii="Arial" w:hAnsi="Arial" w:eastAsia="宋体" w:cs="Arial"/>
                <w:i w:val="0"/>
                <w:color w:val="666666"/>
                <w:kern w:val="0"/>
                <w:sz w:val="24"/>
                <w:szCs w:val="24"/>
                <w:u w:val="none"/>
                <w:lang w:val="en-US" w:eastAsia="zh-CN" w:bidi="ar"/>
              </w:rPr>
              <w:t>388X246X115MM</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b/>
          <w:bCs/>
          <w:i w:val="0"/>
          <w:caps w:val="0"/>
          <w:color w:val="666666"/>
          <w:spacing w:val="0"/>
          <w:sz w:val="24"/>
          <w:szCs w:val="24"/>
        </w:rPr>
      </w:pPr>
      <w:r>
        <w:rPr>
          <w:rFonts w:hint="eastAsia" w:ascii="宋体" w:hAnsi="宋体" w:eastAsia="宋体" w:cs="宋体"/>
          <w:b/>
          <w:bCs/>
          <w:i w:val="0"/>
          <w:caps w:val="0"/>
          <w:color w:val="666666"/>
          <w:spacing w:val="0"/>
          <w:kern w:val="0"/>
          <w:sz w:val="24"/>
          <w:szCs w:val="24"/>
          <w:lang w:val="en-US" w:eastAsia="zh-CN" w:bidi="ar"/>
        </w:rPr>
        <w:t>产品特点：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b/>
          <w:bCs/>
          <w:i w:val="0"/>
          <w:caps w:val="0"/>
          <w:color w:val="666666"/>
          <w:spacing w:val="0"/>
          <w:sz w:val="24"/>
          <w:szCs w:val="24"/>
        </w:rPr>
      </w:pPr>
      <w:r>
        <w:rPr>
          <w:rFonts w:hint="eastAsia" w:ascii="宋体" w:hAnsi="宋体" w:eastAsia="宋体" w:cs="宋体"/>
          <w:b/>
          <w:bCs/>
          <w:i w:val="0"/>
          <w:caps w:val="0"/>
          <w:color w:val="666666"/>
          <w:spacing w:val="0"/>
          <w:kern w:val="0"/>
          <w:sz w:val="24"/>
          <w:szCs w:val="24"/>
          <w:lang w:val="en-US" w:eastAsia="zh-CN" w:bidi="ar"/>
        </w:rPr>
        <w:t>大倍率大口径远距离观察最佳军警和执法机构使用的专业望远镜部队普遍装备的望远镜性价比高配有望远镜包及三脚架支架配合三脚架使用，效果更佳</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b/>
          <w:bCs/>
          <w:i w:val="0"/>
          <w:caps w:val="0"/>
          <w:color w:val="666666"/>
          <w:spacing w:val="0"/>
          <w:sz w:val="24"/>
          <w:szCs w:val="24"/>
        </w:rPr>
      </w:pPr>
      <w:r>
        <w:rPr>
          <w:rFonts w:hint="eastAsia" w:ascii="宋体" w:hAnsi="宋体" w:eastAsia="宋体" w:cs="宋体"/>
          <w:b/>
          <w:bCs/>
          <w:i w:val="0"/>
          <w:caps w:val="0"/>
          <w:color w:val="666666"/>
          <w:spacing w:val="0"/>
          <w:kern w:val="0"/>
          <w:sz w:val="24"/>
          <w:szCs w:val="24"/>
          <w:lang w:val="en-US" w:eastAsia="zh-CN" w:bidi="ar"/>
        </w:rPr>
        <w:t>产品性能：高倍、大口径塑钢长寿命胶皮不易褪色，防噪防滑使用温度范围-40至+80°C完全密封设计防灰防潮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b/>
          <w:bCs/>
          <w:i w:val="0"/>
          <w:caps w:val="0"/>
          <w:color w:val="666666"/>
          <w:spacing w:val="0"/>
          <w:sz w:val="24"/>
          <w:szCs w:val="24"/>
        </w:rPr>
      </w:pPr>
      <w:r>
        <w:rPr>
          <w:rFonts w:hint="eastAsia" w:ascii="宋体" w:hAnsi="宋体" w:eastAsia="宋体" w:cs="宋体"/>
          <w:b/>
          <w:bCs/>
          <w:i w:val="0"/>
          <w:caps w:val="0"/>
          <w:color w:val="666666"/>
          <w:spacing w:val="0"/>
          <w:kern w:val="0"/>
          <w:sz w:val="24"/>
          <w:szCs w:val="24"/>
          <w:lang w:val="en-US" w:eastAsia="zh-CN" w:bidi="ar"/>
        </w:rPr>
        <w:t>主要用途：监狱/警卫/安保电厂/超高压变电站/机场及塔台监控/边防哨所/特种突击队炮兵部队/海警部队</w:t>
      </w:r>
    </w:p>
    <w:p>
      <w:pPr>
        <w:keepNext w:val="0"/>
        <w:keepLines w:val="0"/>
        <w:widowControl/>
        <w:suppressLineNumbers w:val="0"/>
        <w:jc w:val="left"/>
        <w:rPr>
          <w:rFonts w:hint="eastAsia" w:ascii="宋体" w:hAnsi="宋体" w:eastAsia="宋体" w:cs="宋体"/>
          <w:b/>
          <w:bCs/>
          <w:i w:val="0"/>
          <w:caps w:val="0"/>
          <w:color w:val="666666"/>
          <w:spacing w:val="0"/>
          <w:sz w:val="24"/>
          <w:szCs w:val="24"/>
        </w:rPr>
      </w:pPr>
      <w:r>
        <w:rPr>
          <w:rFonts w:hint="eastAsia" w:ascii="宋体" w:hAnsi="宋体" w:eastAsia="宋体" w:cs="宋体"/>
          <w:b/>
          <w:bCs/>
          <w:i w:val="0"/>
          <w:caps w:val="0"/>
          <w:color w:val="666666"/>
          <w:spacing w:val="0"/>
          <w:kern w:val="0"/>
          <w:sz w:val="24"/>
          <w:szCs w:val="24"/>
          <w:lang w:val="en-US" w:eastAsia="zh-CN" w:bidi="ar"/>
        </w:rPr>
        <w:t>其他用途：休闲度假</w:t>
      </w:r>
      <w:r>
        <w:rPr>
          <w:rFonts w:hint="eastAsia" w:ascii="宋体" w:hAnsi="宋体" w:eastAsia="宋体" w:cs="宋体"/>
          <w:b/>
          <w:bCs/>
          <w:i w:val="0"/>
          <w:caps w:val="0"/>
          <w:color w:val="666666"/>
          <w:spacing w:val="0"/>
          <w:kern w:val="0"/>
          <w:sz w:val="24"/>
          <w:szCs w:val="24"/>
          <w:lang w:val="en-US" w:eastAsia="zh-CN" w:bidi="ar"/>
        </w:rPr>
        <w:t>当你在摩天大楼或是海边豪宅度假时，或许会有“一览众山小”的感觉，“大眼睛”让你眼中的景色更清晰生动！</w:t>
      </w:r>
    </w:p>
    <w:p>
      <w:pPr>
        <w:rPr>
          <w:rFonts w:hint="eastAsia" w:eastAsiaTheme="minorEastAsia"/>
          <w:lang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-600075</wp:posOffset>
            </wp:positionH>
            <wp:positionV relativeFrom="paragraph">
              <wp:posOffset>381000</wp:posOffset>
            </wp:positionV>
            <wp:extent cx="3140710" cy="3140710"/>
            <wp:effectExtent l="0" t="0" r="2540" b="2540"/>
            <wp:wrapNone/>
            <wp:docPr id="1" name="图片 1" descr="15209285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2092852999"/>
                    <pic:cNvPicPr>
                      <a:picLocks noChangeAspect="1"/>
                    </pic:cNvPicPr>
                  </pic:nvPicPr>
                  <pic:blipFill>
                    <a:blip r:embed="rId4"/>
                    <a:stretch>
                      <a:fillRect/>
                    </a:stretch>
                  </pic:blipFill>
                  <pic:spPr>
                    <a:xfrm>
                      <a:off x="0" y="0"/>
                      <a:ext cx="3140710" cy="3140710"/>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2486660</wp:posOffset>
            </wp:positionH>
            <wp:positionV relativeFrom="paragraph">
              <wp:posOffset>652780</wp:posOffset>
            </wp:positionV>
            <wp:extent cx="3747770" cy="2494915"/>
            <wp:effectExtent l="0" t="0" r="5080" b="635"/>
            <wp:wrapNone/>
            <wp:docPr id="2" name="图片 2" descr="15209284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2092847887"/>
                    <pic:cNvPicPr>
                      <a:picLocks noChangeAspect="1"/>
                    </pic:cNvPicPr>
                  </pic:nvPicPr>
                  <pic:blipFill>
                    <a:blip r:embed="rId5"/>
                    <a:stretch>
                      <a:fillRect/>
                    </a:stretch>
                  </pic:blipFill>
                  <pic:spPr>
                    <a:xfrm>
                      <a:off x="0" y="0"/>
                      <a:ext cx="3747770" cy="2494915"/>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-133350</wp:posOffset>
            </wp:positionH>
            <wp:positionV relativeFrom="paragraph">
              <wp:posOffset>4142105</wp:posOffset>
            </wp:positionV>
            <wp:extent cx="5773420" cy="3737610"/>
            <wp:effectExtent l="0" t="0" r="17780" b="15240"/>
            <wp:wrapNone/>
            <wp:docPr id="3" name="图片 3" descr="1520928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2092841719"/>
                    <pic:cNvPicPr>
                      <a:picLocks noChangeAspect="1"/>
                    </pic:cNvPicPr>
                  </pic:nvPicPr>
                  <pic:blipFill>
                    <a:blip r:embed="rId6"/>
                    <a:stretch>
                      <a:fillRect/>
                    </a:stretch>
                  </pic:blipFill>
                  <pic:spPr>
                    <a:xfrm>
                      <a:off x="0" y="0"/>
                      <a:ext cx="5773420" cy="373761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C22500"/>
    <w:rsid w:val="3CA44C67"/>
    <w:rsid w:val="4E10603C"/>
    <w:rsid w:val="51E22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七秒の记忆</cp:lastModifiedBy>
  <dcterms:modified xsi:type="dcterms:W3CDTF">2020-03-23T06:29:39Z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